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169E3" w14:textId="64692CFC" w:rsidR="00A8550B" w:rsidRPr="006B157B" w:rsidRDefault="00AE25F7" w:rsidP="006B157B">
      <w:pPr>
        <w:pStyle w:val="Heading1"/>
        <w:spacing w:line="276" w:lineRule="auto"/>
        <w:rPr>
          <w:rStyle w:val="oypena"/>
          <w:rFonts w:ascii="Verdana" w:hAnsi="Verdana"/>
          <w:b/>
          <w:bCs/>
          <w:color w:val="652266" w:themeColor="accent1"/>
          <w:sz w:val="32"/>
          <w:szCs w:val="32"/>
        </w:rPr>
      </w:pPr>
      <w:r w:rsidRPr="006B157B">
        <w:rPr>
          <w:rStyle w:val="oypena"/>
          <w:rFonts w:ascii="Verdana" w:hAnsi="Verdana"/>
          <w:b/>
          <w:bCs/>
          <w:color w:val="652266" w:themeColor="accent1"/>
          <w:sz w:val="32"/>
          <w:szCs w:val="32"/>
        </w:rPr>
        <w:t>Preventing Violence Against Migrant and Refugee Women, Non-Binary, and Gender-Diverse People with Disabilities</w:t>
      </w:r>
    </w:p>
    <w:p w14:paraId="0017AE6D" w14:textId="0F009FFD" w:rsidR="00AE25F7" w:rsidRPr="006B157B" w:rsidRDefault="00AE25F7" w:rsidP="006B157B">
      <w:pPr>
        <w:pStyle w:val="Subtitle"/>
        <w:spacing w:line="276" w:lineRule="auto"/>
        <w:rPr>
          <w:rStyle w:val="oypena"/>
          <w:rFonts w:ascii="Verdana" w:hAnsi="Verdana"/>
          <w:color w:val="auto"/>
          <w:sz w:val="24"/>
          <w:szCs w:val="24"/>
        </w:rPr>
      </w:pPr>
      <w:r w:rsidRPr="006B157B">
        <w:rPr>
          <w:rStyle w:val="oypena"/>
          <w:rFonts w:ascii="Verdana" w:hAnsi="Verdana"/>
          <w:color w:val="auto"/>
          <w:sz w:val="24"/>
          <w:szCs w:val="24"/>
        </w:rPr>
        <w:t>Animation Guide</w:t>
      </w:r>
    </w:p>
    <w:p w14:paraId="2C05A938" w14:textId="77777777" w:rsidR="00AE25F7" w:rsidRPr="006B157B" w:rsidRDefault="00AE25F7" w:rsidP="006B157B">
      <w:pPr>
        <w:spacing w:line="276" w:lineRule="auto"/>
        <w:rPr>
          <w:rStyle w:val="oypena"/>
          <w:rFonts w:ascii="Verdana" w:hAnsi="Verdana"/>
          <w:color w:val="000000"/>
        </w:rPr>
      </w:pPr>
    </w:p>
    <w:p w14:paraId="18A26CA2" w14:textId="52A8AD1A" w:rsidR="00AE25F7" w:rsidRPr="006B157B" w:rsidRDefault="00AE25F7" w:rsidP="006B157B">
      <w:pPr>
        <w:pStyle w:val="Heading2"/>
        <w:spacing w:line="276" w:lineRule="auto"/>
        <w:rPr>
          <w:rStyle w:val="oypena"/>
          <w:rFonts w:ascii="Verdana" w:hAnsi="Verdana"/>
          <w:b/>
          <w:bCs/>
          <w:color w:val="652266" w:themeColor="accent1"/>
          <w:sz w:val="24"/>
          <w:szCs w:val="24"/>
        </w:rPr>
      </w:pPr>
      <w:r w:rsidRPr="006B157B">
        <w:rPr>
          <w:rStyle w:val="oypena"/>
          <w:rFonts w:ascii="Verdana" w:hAnsi="Verdana"/>
          <w:b/>
          <w:bCs/>
          <w:color w:val="652266" w:themeColor="accent1"/>
          <w:sz w:val="24"/>
          <w:szCs w:val="24"/>
        </w:rPr>
        <w:t>WHO IS THIS VIDEO FOR?</w:t>
      </w:r>
    </w:p>
    <w:p w14:paraId="7E11560D" w14:textId="77777777" w:rsidR="00AE25F7" w:rsidRPr="006B157B" w:rsidRDefault="00AE25F7" w:rsidP="006B157B">
      <w:pPr>
        <w:spacing w:line="276" w:lineRule="auto"/>
        <w:rPr>
          <w:rFonts w:ascii="Verdana" w:hAnsi="Verdana"/>
        </w:rPr>
      </w:pPr>
      <w:r w:rsidRPr="006B157B">
        <w:rPr>
          <w:rFonts w:ascii="Verdana" w:hAnsi="Verdana"/>
        </w:rPr>
        <w:t xml:space="preserve">This video is for anyone who has a role in undertaking primary prevention work. </w:t>
      </w:r>
    </w:p>
    <w:p w14:paraId="1945EA31" w14:textId="77777777" w:rsidR="00AE25F7" w:rsidRPr="006B157B" w:rsidRDefault="00AE25F7" w:rsidP="006B157B">
      <w:pPr>
        <w:spacing w:line="276" w:lineRule="auto"/>
        <w:rPr>
          <w:rFonts w:ascii="Verdana" w:hAnsi="Verdana"/>
        </w:rPr>
      </w:pPr>
      <w:r w:rsidRPr="006B157B">
        <w:rPr>
          <w:rFonts w:ascii="Verdana" w:hAnsi="Verdana"/>
        </w:rPr>
        <w:t xml:space="preserve">This might be:  </w:t>
      </w:r>
    </w:p>
    <w:p w14:paraId="2A360962" w14:textId="77777777" w:rsidR="00AE25F7" w:rsidRPr="006B157B" w:rsidRDefault="00AE25F7" w:rsidP="006B157B">
      <w:pPr>
        <w:pStyle w:val="ListParagraph"/>
        <w:numPr>
          <w:ilvl w:val="0"/>
          <w:numId w:val="1"/>
        </w:numPr>
        <w:spacing w:line="276" w:lineRule="auto"/>
        <w:rPr>
          <w:rFonts w:ascii="Verdana" w:hAnsi="Verdana"/>
        </w:rPr>
      </w:pPr>
      <w:r w:rsidRPr="006B157B">
        <w:rPr>
          <w:rFonts w:ascii="Verdana" w:hAnsi="Verdana"/>
        </w:rPr>
        <w:t xml:space="preserve">Disability and social services  </w:t>
      </w:r>
    </w:p>
    <w:p w14:paraId="7612B530" w14:textId="77777777" w:rsidR="00AE25F7" w:rsidRPr="006B157B" w:rsidRDefault="00AE25F7" w:rsidP="006B157B">
      <w:pPr>
        <w:pStyle w:val="ListParagraph"/>
        <w:numPr>
          <w:ilvl w:val="0"/>
          <w:numId w:val="1"/>
        </w:numPr>
        <w:spacing w:line="276" w:lineRule="auto"/>
        <w:rPr>
          <w:rFonts w:ascii="Verdana" w:hAnsi="Verdana"/>
        </w:rPr>
      </w:pPr>
      <w:r w:rsidRPr="006B157B">
        <w:rPr>
          <w:rFonts w:ascii="Verdana" w:hAnsi="Verdana"/>
        </w:rPr>
        <w:t xml:space="preserve">Prevention and response sectors  </w:t>
      </w:r>
    </w:p>
    <w:p w14:paraId="46BDE24E" w14:textId="77777777" w:rsidR="00AE25F7" w:rsidRPr="006B157B" w:rsidRDefault="00AE25F7" w:rsidP="006B157B">
      <w:pPr>
        <w:pStyle w:val="ListParagraph"/>
        <w:numPr>
          <w:ilvl w:val="0"/>
          <w:numId w:val="1"/>
        </w:numPr>
        <w:spacing w:line="276" w:lineRule="auto"/>
        <w:rPr>
          <w:rFonts w:ascii="Verdana" w:hAnsi="Verdana"/>
        </w:rPr>
      </w:pPr>
      <w:r w:rsidRPr="006B157B">
        <w:rPr>
          <w:rFonts w:ascii="Verdana" w:hAnsi="Verdana"/>
        </w:rPr>
        <w:t xml:space="preserve">Multicultural services  </w:t>
      </w:r>
    </w:p>
    <w:p w14:paraId="7D9FAB84" w14:textId="77777777" w:rsidR="00AE25F7" w:rsidRPr="006B157B" w:rsidRDefault="00AE25F7" w:rsidP="006B157B">
      <w:pPr>
        <w:pStyle w:val="ListParagraph"/>
        <w:numPr>
          <w:ilvl w:val="0"/>
          <w:numId w:val="1"/>
        </w:numPr>
        <w:spacing w:line="276" w:lineRule="auto"/>
        <w:rPr>
          <w:rFonts w:ascii="Verdana" w:hAnsi="Verdana"/>
        </w:rPr>
      </w:pPr>
      <w:r w:rsidRPr="006B157B">
        <w:rPr>
          <w:rFonts w:ascii="Verdana" w:hAnsi="Verdana"/>
        </w:rPr>
        <w:t xml:space="preserve">Women’s Health Services  </w:t>
      </w:r>
    </w:p>
    <w:p w14:paraId="7183D758" w14:textId="77777777" w:rsidR="00AE25F7" w:rsidRPr="006B157B" w:rsidRDefault="00AE25F7" w:rsidP="006B157B">
      <w:pPr>
        <w:pStyle w:val="ListParagraph"/>
        <w:numPr>
          <w:ilvl w:val="0"/>
          <w:numId w:val="1"/>
        </w:numPr>
        <w:spacing w:line="276" w:lineRule="auto"/>
        <w:rPr>
          <w:rFonts w:ascii="Verdana" w:hAnsi="Verdana"/>
        </w:rPr>
      </w:pPr>
      <w:r w:rsidRPr="006B157B">
        <w:rPr>
          <w:rFonts w:ascii="Verdana" w:hAnsi="Verdana"/>
        </w:rPr>
        <w:t xml:space="preserve">Community health services  </w:t>
      </w:r>
    </w:p>
    <w:p w14:paraId="69E9367D" w14:textId="77777777" w:rsidR="00AE25F7" w:rsidRPr="006B157B" w:rsidRDefault="00AE25F7" w:rsidP="006B157B">
      <w:pPr>
        <w:pStyle w:val="ListParagraph"/>
        <w:numPr>
          <w:ilvl w:val="0"/>
          <w:numId w:val="1"/>
        </w:numPr>
        <w:spacing w:line="276" w:lineRule="auto"/>
        <w:rPr>
          <w:rFonts w:ascii="Verdana" w:hAnsi="Verdana"/>
        </w:rPr>
      </w:pPr>
      <w:r w:rsidRPr="006B157B">
        <w:rPr>
          <w:rFonts w:ascii="Verdana" w:hAnsi="Verdana"/>
        </w:rPr>
        <w:t xml:space="preserve">State and local government  </w:t>
      </w:r>
    </w:p>
    <w:p w14:paraId="41290FAF" w14:textId="32DC4C6D" w:rsidR="00AE25F7" w:rsidRPr="006B157B" w:rsidRDefault="00AE25F7" w:rsidP="006B157B">
      <w:pPr>
        <w:pStyle w:val="ListParagraph"/>
        <w:numPr>
          <w:ilvl w:val="0"/>
          <w:numId w:val="1"/>
        </w:numPr>
        <w:spacing w:line="276" w:lineRule="auto"/>
        <w:rPr>
          <w:rFonts w:ascii="Verdana" w:hAnsi="Verdana"/>
        </w:rPr>
      </w:pPr>
      <w:r w:rsidRPr="006B157B">
        <w:rPr>
          <w:rFonts w:ascii="Verdana" w:hAnsi="Verdana"/>
        </w:rPr>
        <w:t>Educational and vocational services</w:t>
      </w:r>
    </w:p>
    <w:p w14:paraId="328555D7" w14:textId="1B4F91B5" w:rsidR="00AE25F7" w:rsidRPr="006B157B" w:rsidRDefault="00AE25F7" w:rsidP="006B157B">
      <w:pPr>
        <w:spacing w:line="276" w:lineRule="auto"/>
        <w:rPr>
          <w:rStyle w:val="oypena"/>
          <w:rFonts w:ascii="Verdana" w:hAnsi="Verdana"/>
        </w:rPr>
      </w:pPr>
      <w:r w:rsidRPr="006B157B">
        <w:rPr>
          <w:rStyle w:val="oypena"/>
          <w:rFonts w:ascii="Verdana" w:hAnsi="Verdana"/>
        </w:rPr>
        <w:t>It might also be used by anyone working alongside disability and social services and prevention practitioners who would like to gain a better understanding of how gender, race and disability influence the experience of violence.</w:t>
      </w:r>
    </w:p>
    <w:p w14:paraId="0B490340" w14:textId="77777777" w:rsidR="00AE25F7" w:rsidRPr="006B157B" w:rsidRDefault="00AE25F7" w:rsidP="006B157B">
      <w:pPr>
        <w:spacing w:line="276" w:lineRule="auto"/>
        <w:rPr>
          <w:rStyle w:val="oypena"/>
          <w:rFonts w:ascii="Verdana" w:hAnsi="Verdana"/>
          <w:color w:val="000000"/>
        </w:rPr>
      </w:pPr>
    </w:p>
    <w:p w14:paraId="6C1B3093" w14:textId="755CFC53" w:rsidR="00AE25F7" w:rsidRPr="006B157B" w:rsidRDefault="00AE25F7" w:rsidP="006B157B">
      <w:pPr>
        <w:pStyle w:val="Heading2"/>
        <w:spacing w:line="276" w:lineRule="auto"/>
        <w:rPr>
          <w:rStyle w:val="oypena"/>
          <w:rFonts w:ascii="Verdana" w:hAnsi="Verdana"/>
          <w:b/>
          <w:bCs/>
          <w:color w:val="652266" w:themeColor="accent1"/>
          <w:sz w:val="24"/>
          <w:szCs w:val="24"/>
        </w:rPr>
      </w:pPr>
      <w:r w:rsidRPr="006B157B">
        <w:rPr>
          <w:rStyle w:val="oypena"/>
          <w:rFonts w:ascii="Verdana" w:hAnsi="Verdana"/>
          <w:b/>
          <w:bCs/>
          <w:color w:val="652266" w:themeColor="accent1"/>
          <w:sz w:val="24"/>
          <w:szCs w:val="24"/>
        </w:rPr>
        <w:t>WHEN MIGHT YOU USE THIS VIDEO?</w:t>
      </w:r>
    </w:p>
    <w:p w14:paraId="2AFDC0CB" w14:textId="61AD5C74" w:rsidR="00AE25F7" w:rsidRPr="006B157B" w:rsidRDefault="00AE25F7" w:rsidP="006B157B">
      <w:pPr>
        <w:spacing w:line="276" w:lineRule="auto"/>
        <w:rPr>
          <w:rFonts w:ascii="Verdana" w:hAnsi="Verdana"/>
        </w:rPr>
      </w:pPr>
      <w:r w:rsidRPr="006B157B">
        <w:rPr>
          <w:rFonts w:ascii="Verdana" w:hAnsi="Verdana"/>
        </w:rPr>
        <w:t xml:space="preserve">This video might be used as part of professional development to build awareness and knowledge to prevent violence against women, non-binary and gender diverse people with disabilities from multicultural communities.  </w:t>
      </w:r>
    </w:p>
    <w:p w14:paraId="63D9F267" w14:textId="77777777" w:rsidR="00AE25F7" w:rsidRPr="006B157B" w:rsidRDefault="00AE25F7" w:rsidP="006B157B">
      <w:pPr>
        <w:spacing w:line="276" w:lineRule="auto"/>
        <w:rPr>
          <w:rFonts w:ascii="Verdana" w:hAnsi="Verdana"/>
        </w:rPr>
      </w:pPr>
      <w:r w:rsidRPr="006B157B">
        <w:rPr>
          <w:rFonts w:ascii="Verdana" w:hAnsi="Verdana"/>
        </w:rPr>
        <w:t xml:space="preserve">This video can be viewed as a part of a meeting to spark discussion and reflection about current intersectional practice and how it can be improved.  </w:t>
      </w:r>
    </w:p>
    <w:p w14:paraId="04A2C9A4" w14:textId="5EBD2D7D" w:rsidR="00AE25F7" w:rsidRPr="006B157B" w:rsidRDefault="00AE25F7" w:rsidP="006B157B">
      <w:pPr>
        <w:spacing w:line="276" w:lineRule="auto"/>
        <w:rPr>
          <w:rFonts w:ascii="Verdana" w:hAnsi="Verdana"/>
        </w:rPr>
      </w:pPr>
      <w:r w:rsidRPr="006B157B">
        <w:rPr>
          <w:rFonts w:ascii="Verdana" w:hAnsi="Verdana"/>
        </w:rPr>
        <w:t xml:space="preserve">This video can be referenced in training or workshops you facilitate to explain and demonstrate the concept of intersectionality.  </w:t>
      </w:r>
    </w:p>
    <w:p w14:paraId="39678B5B" w14:textId="1A86FE96" w:rsidR="00AE25F7" w:rsidRPr="006B157B" w:rsidRDefault="00AE25F7" w:rsidP="006B157B">
      <w:pPr>
        <w:spacing w:line="276" w:lineRule="auto"/>
        <w:rPr>
          <w:rFonts w:ascii="Verdana" w:hAnsi="Verdana"/>
        </w:rPr>
      </w:pPr>
      <w:r w:rsidRPr="006B157B">
        <w:rPr>
          <w:rFonts w:ascii="Verdana" w:hAnsi="Verdana"/>
        </w:rPr>
        <w:t>This video can be a useful tool when engaging with community leaders or disability and multicultural support services to advocate for the importance of intersectional prevention work.</w:t>
      </w:r>
    </w:p>
    <w:p w14:paraId="6C182554" w14:textId="77777777" w:rsidR="00AE25F7" w:rsidRPr="006B157B" w:rsidRDefault="00AE25F7" w:rsidP="006B157B">
      <w:pPr>
        <w:spacing w:line="276" w:lineRule="auto"/>
        <w:rPr>
          <w:rFonts w:ascii="Verdana" w:hAnsi="Verdana"/>
        </w:rPr>
      </w:pPr>
    </w:p>
    <w:p w14:paraId="2029CCDB" w14:textId="0203DAF4" w:rsidR="00AE25F7" w:rsidRPr="006B157B" w:rsidRDefault="006B157B" w:rsidP="006B157B">
      <w:pPr>
        <w:pStyle w:val="Heading2"/>
        <w:spacing w:line="276" w:lineRule="auto"/>
        <w:rPr>
          <w:rFonts w:ascii="Verdana" w:hAnsi="Verdana"/>
          <w:b/>
          <w:bCs/>
          <w:color w:val="652266" w:themeColor="accent1"/>
          <w:sz w:val="24"/>
          <w:szCs w:val="24"/>
        </w:rPr>
      </w:pPr>
      <w:r w:rsidRPr="006B157B">
        <w:rPr>
          <w:rFonts w:ascii="Verdana" w:hAnsi="Verdana"/>
          <w:b/>
          <w:bCs/>
          <w:color w:val="652266" w:themeColor="accent1"/>
          <w:sz w:val="24"/>
          <w:szCs w:val="24"/>
        </w:rPr>
        <w:t>KEY TERMS</w:t>
      </w:r>
      <w:r w:rsidR="00AE25F7" w:rsidRPr="006B157B">
        <w:rPr>
          <w:rFonts w:ascii="Verdana" w:hAnsi="Verdana"/>
          <w:b/>
          <w:bCs/>
          <w:color w:val="652266" w:themeColor="accent1"/>
          <w:sz w:val="24"/>
          <w:szCs w:val="24"/>
        </w:rPr>
        <w:t xml:space="preserve">: </w:t>
      </w:r>
    </w:p>
    <w:p w14:paraId="5FF5D5A2" w14:textId="0A166B50" w:rsidR="00AE25F7" w:rsidRPr="006B157B" w:rsidRDefault="00AE25F7" w:rsidP="006B157B">
      <w:pPr>
        <w:spacing w:line="276" w:lineRule="auto"/>
        <w:rPr>
          <w:rStyle w:val="oypena"/>
          <w:rFonts w:ascii="Verdana" w:hAnsi="Verdana"/>
          <w:color w:val="000000"/>
        </w:rPr>
      </w:pPr>
      <w:r w:rsidRPr="006B157B">
        <w:rPr>
          <w:rStyle w:val="oypena"/>
          <w:rFonts w:ascii="Verdana" w:hAnsi="Verdana"/>
          <w:b/>
          <w:bCs/>
        </w:rPr>
        <w:t>Ableism</w:t>
      </w:r>
      <w:r w:rsidRPr="006B157B">
        <w:rPr>
          <w:rStyle w:val="oypena"/>
          <w:rFonts w:ascii="Verdana" w:hAnsi="Verdana"/>
          <w:color w:val="000000"/>
        </w:rPr>
        <w:t xml:space="preserve"> - </w:t>
      </w:r>
      <w:r w:rsidRPr="006B157B">
        <w:rPr>
          <w:rStyle w:val="oypena"/>
          <w:rFonts w:ascii="Verdana" w:hAnsi="Verdana"/>
          <w:color w:val="000000"/>
        </w:rPr>
        <w:t xml:space="preserve">The unfair treatment of people because they have a disability. The belief that people with disabilities are less important than people without disabilities </w:t>
      </w:r>
      <w:r w:rsidRPr="006B157B">
        <w:rPr>
          <w:rStyle w:val="oypena"/>
          <w:rFonts w:ascii="Verdana" w:hAnsi="Verdana"/>
          <w:i/>
          <w:iCs/>
          <w:color w:val="000000"/>
        </w:rPr>
        <w:t>(WDV 2023, Taking Action Guide).</w:t>
      </w:r>
    </w:p>
    <w:p w14:paraId="1F059F0D" w14:textId="7BF22692" w:rsidR="00AE25F7" w:rsidRPr="006B157B" w:rsidRDefault="00AE25F7" w:rsidP="006B157B">
      <w:pPr>
        <w:spacing w:line="276" w:lineRule="auto"/>
        <w:rPr>
          <w:rStyle w:val="oypena"/>
          <w:rFonts w:ascii="Verdana" w:hAnsi="Verdana"/>
          <w:color w:val="000000"/>
        </w:rPr>
      </w:pPr>
      <w:r w:rsidRPr="006B157B">
        <w:rPr>
          <w:rStyle w:val="oypena"/>
          <w:rFonts w:ascii="Verdana" w:hAnsi="Verdana"/>
          <w:b/>
          <w:bCs/>
          <w:color w:val="000000"/>
        </w:rPr>
        <w:lastRenderedPageBreak/>
        <w:t>Culture</w:t>
      </w:r>
      <w:r w:rsidRPr="006B157B">
        <w:rPr>
          <w:rStyle w:val="oypena"/>
          <w:rFonts w:ascii="Verdana" w:hAnsi="Verdana"/>
          <w:color w:val="000000"/>
        </w:rPr>
        <w:t xml:space="preserve"> - </w:t>
      </w:r>
      <w:r w:rsidRPr="006B157B">
        <w:rPr>
          <w:rStyle w:val="oypena"/>
          <w:rFonts w:ascii="Verdana" w:hAnsi="Verdana"/>
          <w:color w:val="000000"/>
        </w:rPr>
        <w:t xml:space="preserve">Describes the broad collection of common behaviours and attitudes of a group of people in a certain place and time. A culture is not one-dimensional. It is not the same thing to all people, and it is not the same thing at any given moment or in any given situation. It changes over time and place </w:t>
      </w:r>
      <w:r w:rsidRPr="006B157B">
        <w:rPr>
          <w:rStyle w:val="oypena"/>
          <w:rFonts w:ascii="Verdana" w:hAnsi="Verdana"/>
          <w:i/>
          <w:iCs/>
          <w:color w:val="000000"/>
        </w:rPr>
        <w:t>(MCWH 2020, Challenging myths about culture and violence).</w:t>
      </w:r>
    </w:p>
    <w:p w14:paraId="0CE5AB7A" w14:textId="289839BB" w:rsidR="00AE25F7" w:rsidRPr="006B157B" w:rsidRDefault="00AE25F7" w:rsidP="006B157B">
      <w:pPr>
        <w:spacing w:line="276" w:lineRule="auto"/>
        <w:rPr>
          <w:rStyle w:val="oypena"/>
          <w:rFonts w:ascii="Verdana" w:hAnsi="Verdana"/>
          <w:color w:val="000000"/>
        </w:rPr>
      </w:pPr>
      <w:r w:rsidRPr="006B157B">
        <w:rPr>
          <w:rStyle w:val="oypena"/>
          <w:rFonts w:ascii="Verdana" w:hAnsi="Verdana"/>
          <w:b/>
          <w:bCs/>
          <w:color w:val="000000"/>
        </w:rPr>
        <w:t>Disability</w:t>
      </w:r>
      <w:r w:rsidRPr="006B157B">
        <w:rPr>
          <w:rStyle w:val="oypena"/>
          <w:rFonts w:ascii="Verdana" w:hAnsi="Verdana"/>
          <w:b/>
          <w:bCs/>
          <w:color w:val="000000"/>
        </w:rPr>
        <w:t xml:space="preserve"> </w:t>
      </w:r>
      <w:r w:rsidRPr="006B157B">
        <w:rPr>
          <w:rStyle w:val="oypena"/>
          <w:rFonts w:ascii="Verdana" w:hAnsi="Verdana"/>
          <w:color w:val="000000"/>
        </w:rPr>
        <w:t xml:space="preserve">- </w:t>
      </w:r>
      <w:r w:rsidRPr="006B157B">
        <w:rPr>
          <w:rStyle w:val="oypena"/>
          <w:rFonts w:ascii="Verdana" w:hAnsi="Verdana"/>
          <w:color w:val="000000"/>
        </w:rPr>
        <w:t xml:space="preserve">There is no single definition of disability. Disability is a long-term physical, cognitive, sensory and psychosocial impairment, that when combined with a number of barriers can impact community and social participation </w:t>
      </w:r>
      <w:r w:rsidRPr="006B157B">
        <w:rPr>
          <w:rStyle w:val="oypena"/>
          <w:rFonts w:ascii="Verdana" w:hAnsi="Verdana"/>
          <w:i/>
          <w:iCs/>
          <w:color w:val="000000"/>
        </w:rPr>
        <w:t>(WDV 2023, Taking Action Guide).</w:t>
      </w:r>
    </w:p>
    <w:p w14:paraId="7D6502BA" w14:textId="6793BE6E" w:rsidR="00AE25F7" w:rsidRPr="006B157B" w:rsidRDefault="00AE25F7" w:rsidP="006B157B">
      <w:pPr>
        <w:spacing w:line="276" w:lineRule="auto"/>
        <w:rPr>
          <w:rStyle w:val="oypena"/>
          <w:rFonts w:ascii="Verdana" w:hAnsi="Verdana"/>
          <w:color w:val="000000"/>
        </w:rPr>
      </w:pPr>
      <w:r w:rsidRPr="006B157B">
        <w:rPr>
          <w:rStyle w:val="oypena"/>
          <w:rFonts w:ascii="Verdana" w:hAnsi="Verdana"/>
          <w:b/>
          <w:bCs/>
          <w:color w:val="000000"/>
        </w:rPr>
        <w:t>Gender based violence</w:t>
      </w:r>
      <w:r w:rsidRPr="006B157B">
        <w:rPr>
          <w:rStyle w:val="oypena"/>
          <w:rFonts w:ascii="Verdana" w:hAnsi="Verdana"/>
          <w:color w:val="000000"/>
        </w:rPr>
        <w:t xml:space="preserve"> - </w:t>
      </w:r>
      <w:r w:rsidRPr="006B157B">
        <w:rPr>
          <w:rStyle w:val="oypena"/>
          <w:rFonts w:ascii="Verdana" w:hAnsi="Verdana"/>
          <w:color w:val="000000"/>
        </w:rPr>
        <w:t xml:space="preserve">Gender-based violence includes a wide range of behaviours, such as dating violence, physical and sexual violence, image-based abuse and sexual harassment. Gender-based violence includes violence against young and adult women, as well as violence experienced by lesbian, gay, bisexual, trans, intersex and queer (LGBTIQA+) people </w:t>
      </w:r>
      <w:r w:rsidRPr="006B157B">
        <w:rPr>
          <w:rStyle w:val="oypena"/>
          <w:rFonts w:ascii="Verdana" w:hAnsi="Verdana"/>
          <w:i/>
          <w:iCs/>
          <w:color w:val="000000"/>
        </w:rPr>
        <w:t>(Our Watch, 2024)</w:t>
      </w:r>
      <w:r w:rsidRPr="006B157B">
        <w:rPr>
          <w:rStyle w:val="oypena"/>
          <w:rFonts w:ascii="Verdana" w:hAnsi="Verdana"/>
          <w:i/>
          <w:iCs/>
          <w:color w:val="000000"/>
        </w:rPr>
        <w:t>.</w:t>
      </w:r>
    </w:p>
    <w:p w14:paraId="0303EFFE" w14:textId="009BA635" w:rsidR="00AE25F7" w:rsidRPr="006B157B" w:rsidRDefault="00AE25F7" w:rsidP="006B157B">
      <w:pPr>
        <w:spacing w:line="276" w:lineRule="auto"/>
        <w:rPr>
          <w:rStyle w:val="oypena"/>
          <w:rFonts w:ascii="Verdana" w:hAnsi="Verdana"/>
          <w:color w:val="000000"/>
        </w:rPr>
      </w:pPr>
      <w:r w:rsidRPr="006B157B">
        <w:rPr>
          <w:rStyle w:val="oypena"/>
          <w:rFonts w:ascii="Verdana" w:hAnsi="Verdana"/>
          <w:b/>
          <w:bCs/>
          <w:color w:val="000000"/>
        </w:rPr>
        <w:t>Gender diverse</w:t>
      </w:r>
      <w:r w:rsidRPr="006B157B">
        <w:rPr>
          <w:rStyle w:val="oypena"/>
          <w:rFonts w:ascii="Verdana" w:hAnsi="Verdana"/>
          <w:color w:val="000000"/>
        </w:rPr>
        <w:t xml:space="preserve"> - </w:t>
      </w:r>
      <w:r w:rsidRPr="006B157B">
        <w:rPr>
          <w:rStyle w:val="oypena"/>
          <w:rFonts w:ascii="Verdana" w:hAnsi="Verdana"/>
          <w:color w:val="000000"/>
        </w:rPr>
        <w:t xml:space="preserve">People whose gender identity is different to what is socially acceptable to the gender binary. Also see non-binary </w:t>
      </w:r>
      <w:r w:rsidRPr="006B157B">
        <w:rPr>
          <w:rStyle w:val="oypena"/>
          <w:rFonts w:ascii="Verdana" w:hAnsi="Verdana"/>
          <w:i/>
          <w:iCs/>
          <w:color w:val="000000"/>
        </w:rPr>
        <w:t>(WDV 2023, Taking Action Guide).</w:t>
      </w:r>
    </w:p>
    <w:p w14:paraId="571863B7" w14:textId="16ECE274" w:rsidR="00AE25F7" w:rsidRPr="006B157B" w:rsidRDefault="00AE25F7" w:rsidP="006B157B">
      <w:pPr>
        <w:spacing w:line="276" w:lineRule="auto"/>
        <w:rPr>
          <w:rStyle w:val="oypena"/>
          <w:rFonts w:ascii="Verdana" w:hAnsi="Verdana"/>
          <w:color w:val="000000"/>
        </w:rPr>
      </w:pPr>
      <w:r w:rsidRPr="006B157B">
        <w:rPr>
          <w:rStyle w:val="oypena"/>
          <w:rFonts w:ascii="Verdana" w:hAnsi="Verdana"/>
          <w:b/>
          <w:bCs/>
          <w:color w:val="000000"/>
        </w:rPr>
        <w:t>Gender inequality</w:t>
      </w:r>
      <w:r w:rsidRPr="006B157B">
        <w:rPr>
          <w:rStyle w:val="oypena"/>
          <w:rFonts w:ascii="Verdana" w:hAnsi="Verdana"/>
          <w:color w:val="000000"/>
        </w:rPr>
        <w:t xml:space="preserve"> - </w:t>
      </w:r>
      <w:r w:rsidRPr="006B157B">
        <w:rPr>
          <w:rStyle w:val="oypena"/>
          <w:rFonts w:ascii="Verdana" w:hAnsi="Verdana"/>
          <w:color w:val="000000"/>
        </w:rPr>
        <w:t xml:space="preserve">When there is unequal division of power, resources, opportunities and values given to men, women and gender diverse people in a society </w:t>
      </w:r>
      <w:r w:rsidRPr="006B157B">
        <w:rPr>
          <w:rStyle w:val="oypena"/>
          <w:rFonts w:ascii="Verdana" w:hAnsi="Verdana"/>
          <w:i/>
          <w:iCs/>
          <w:color w:val="000000"/>
        </w:rPr>
        <w:t>(WDV 2023, Taking Action Guide).</w:t>
      </w:r>
    </w:p>
    <w:p w14:paraId="54C3A865" w14:textId="604F72B0" w:rsidR="00AE25F7" w:rsidRPr="006B157B" w:rsidRDefault="00AE25F7" w:rsidP="006B157B">
      <w:pPr>
        <w:spacing w:line="276" w:lineRule="auto"/>
        <w:rPr>
          <w:rStyle w:val="oypena"/>
          <w:rFonts w:ascii="Verdana" w:hAnsi="Verdana"/>
          <w:i/>
          <w:iCs/>
          <w:color w:val="000000"/>
        </w:rPr>
      </w:pPr>
      <w:r w:rsidRPr="006B157B">
        <w:rPr>
          <w:rStyle w:val="oypena"/>
          <w:rFonts w:ascii="Verdana" w:hAnsi="Verdana"/>
          <w:b/>
          <w:bCs/>
          <w:color w:val="000000"/>
        </w:rPr>
        <w:t>Individual barriers</w:t>
      </w:r>
      <w:r w:rsidRPr="006B157B">
        <w:rPr>
          <w:rStyle w:val="oypena"/>
          <w:rFonts w:ascii="Verdana" w:hAnsi="Verdana"/>
          <w:color w:val="000000"/>
        </w:rPr>
        <w:t xml:space="preserve"> - </w:t>
      </w:r>
      <w:r w:rsidRPr="006B157B">
        <w:rPr>
          <w:rStyle w:val="oypena"/>
          <w:rFonts w:ascii="Verdana" w:hAnsi="Verdana"/>
          <w:color w:val="000000"/>
        </w:rPr>
        <w:t xml:space="preserve">Individual adherence to rigid gender roles and identities, weak support for gender equality, social learning of violence against women, male dominance and controlling behaviours in relationships </w:t>
      </w:r>
      <w:r w:rsidRPr="006B157B">
        <w:rPr>
          <w:rStyle w:val="oypena"/>
          <w:rFonts w:ascii="Verdana" w:hAnsi="Verdana"/>
          <w:i/>
          <w:iCs/>
          <w:color w:val="000000"/>
        </w:rPr>
        <w:t>(WDV 2023, Taking Action Guide).</w:t>
      </w:r>
    </w:p>
    <w:p w14:paraId="3E6B8CA0" w14:textId="6E287BF2" w:rsidR="00AE25F7" w:rsidRPr="006B157B" w:rsidRDefault="00AE25F7" w:rsidP="006B157B">
      <w:pPr>
        <w:spacing w:line="276" w:lineRule="auto"/>
        <w:rPr>
          <w:rStyle w:val="oypena"/>
          <w:rFonts w:ascii="Verdana" w:hAnsi="Verdana"/>
          <w:color w:val="000000"/>
        </w:rPr>
      </w:pPr>
      <w:r w:rsidRPr="006B157B">
        <w:rPr>
          <w:rStyle w:val="oypena"/>
          <w:rFonts w:ascii="Verdana" w:hAnsi="Verdana"/>
          <w:b/>
          <w:bCs/>
          <w:color w:val="000000"/>
        </w:rPr>
        <w:t>Intersectionality</w:t>
      </w:r>
      <w:r w:rsidRPr="006B157B">
        <w:rPr>
          <w:rStyle w:val="oypena"/>
          <w:rFonts w:ascii="Verdana" w:hAnsi="Verdana"/>
          <w:color w:val="000000"/>
        </w:rPr>
        <w:t xml:space="preserve"> - </w:t>
      </w:r>
      <w:r w:rsidRPr="006B157B">
        <w:rPr>
          <w:rStyle w:val="oypena"/>
          <w:rFonts w:ascii="Verdana" w:hAnsi="Verdana"/>
          <w:color w:val="000000"/>
        </w:rPr>
        <w:t xml:space="preserve">Describes how overlapping types of structural or systemic discrimination and privilege shape how individuals experience the world </w:t>
      </w:r>
      <w:r w:rsidRPr="006B157B">
        <w:rPr>
          <w:rStyle w:val="oypena"/>
          <w:rFonts w:ascii="Verdana" w:hAnsi="Verdana"/>
          <w:i/>
          <w:iCs/>
          <w:color w:val="000000"/>
        </w:rPr>
        <w:t>(WDV 2023, Taking Action Guide).</w:t>
      </w:r>
    </w:p>
    <w:p w14:paraId="4F2A2304" w14:textId="1B33D248" w:rsidR="00AE25F7" w:rsidRPr="006B157B" w:rsidRDefault="00AE25F7" w:rsidP="006B157B">
      <w:pPr>
        <w:spacing w:line="276" w:lineRule="auto"/>
        <w:rPr>
          <w:rStyle w:val="oypena"/>
          <w:rFonts w:ascii="Verdana" w:hAnsi="Verdana"/>
          <w:color w:val="000000"/>
        </w:rPr>
      </w:pPr>
      <w:r w:rsidRPr="006B157B">
        <w:rPr>
          <w:rStyle w:val="oypena"/>
          <w:rFonts w:ascii="Verdana" w:hAnsi="Verdana"/>
          <w:b/>
          <w:bCs/>
          <w:color w:val="000000"/>
        </w:rPr>
        <w:t>Migrant and refugee</w:t>
      </w:r>
      <w:r w:rsidRPr="006B157B">
        <w:rPr>
          <w:rStyle w:val="oypena"/>
          <w:rFonts w:ascii="Verdana" w:hAnsi="Verdana"/>
          <w:color w:val="000000"/>
        </w:rPr>
        <w:t xml:space="preserve"> - </w:t>
      </w:r>
      <w:r w:rsidRPr="006B157B">
        <w:rPr>
          <w:rStyle w:val="oypena"/>
          <w:rFonts w:ascii="Verdana" w:hAnsi="Verdana"/>
          <w:color w:val="000000"/>
        </w:rPr>
        <w:t xml:space="preserve">Describe people living in Australia who were born overseas or whose parent(s) or grandparent(s) were born overseas in a predominantly non-English speaking or non-western country </w:t>
      </w:r>
      <w:r w:rsidRPr="006B157B">
        <w:rPr>
          <w:rStyle w:val="oypena"/>
          <w:rFonts w:ascii="Verdana" w:hAnsi="Verdana"/>
          <w:i/>
          <w:iCs/>
          <w:color w:val="000000"/>
        </w:rPr>
        <w:t>(MCWH 2020, Challenging myths about culture and violence).</w:t>
      </w:r>
    </w:p>
    <w:p w14:paraId="3773C340" w14:textId="2CD26721" w:rsidR="00AE25F7" w:rsidRPr="006B157B" w:rsidRDefault="00AE25F7" w:rsidP="006B157B">
      <w:pPr>
        <w:spacing w:line="276" w:lineRule="auto"/>
        <w:rPr>
          <w:rStyle w:val="oypena"/>
          <w:rFonts w:ascii="Verdana" w:hAnsi="Verdana"/>
          <w:color w:val="000000"/>
        </w:rPr>
      </w:pPr>
      <w:r w:rsidRPr="006B157B">
        <w:rPr>
          <w:rStyle w:val="oypena"/>
          <w:rFonts w:ascii="Verdana" w:hAnsi="Verdana"/>
          <w:b/>
          <w:bCs/>
          <w:color w:val="000000"/>
        </w:rPr>
        <w:t>Non-binary</w:t>
      </w:r>
      <w:r w:rsidRPr="006B157B">
        <w:rPr>
          <w:rStyle w:val="oypena"/>
          <w:rFonts w:ascii="Verdana" w:hAnsi="Verdana"/>
          <w:color w:val="000000"/>
        </w:rPr>
        <w:t xml:space="preserve"> - </w:t>
      </w:r>
      <w:r w:rsidRPr="006B157B">
        <w:rPr>
          <w:rStyle w:val="oypena"/>
          <w:rFonts w:ascii="Verdana" w:hAnsi="Verdana"/>
          <w:color w:val="000000"/>
        </w:rPr>
        <w:t xml:space="preserve">A person whose gender identity does not fall within the gender binary (male/female). Also see Gender diverse </w:t>
      </w:r>
      <w:r w:rsidRPr="006B157B">
        <w:rPr>
          <w:rStyle w:val="oypena"/>
          <w:rFonts w:ascii="Verdana" w:hAnsi="Verdana"/>
          <w:i/>
          <w:iCs/>
          <w:color w:val="000000"/>
        </w:rPr>
        <w:t>(WDV 2023, Taking Action Guide).</w:t>
      </w:r>
    </w:p>
    <w:p w14:paraId="23D51BD8" w14:textId="3A00F30F" w:rsidR="00AE25F7" w:rsidRPr="006B157B" w:rsidRDefault="00AE25F7" w:rsidP="006B157B">
      <w:pPr>
        <w:spacing w:line="276" w:lineRule="auto"/>
        <w:rPr>
          <w:rStyle w:val="oypena"/>
          <w:rFonts w:ascii="Verdana" w:hAnsi="Verdana"/>
          <w:color w:val="000000"/>
        </w:rPr>
      </w:pPr>
      <w:r w:rsidRPr="006B157B">
        <w:rPr>
          <w:rStyle w:val="oypena"/>
          <w:rFonts w:ascii="Verdana" w:hAnsi="Verdana"/>
          <w:b/>
          <w:bCs/>
          <w:color w:val="000000"/>
        </w:rPr>
        <w:t>Organisational barriers</w:t>
      </w:r>
      <w:r w:rsidRPr="006B157B">
        <w:rPr>
          <w:rStyle w:val="oypena"/>
          <w:rFonts w:ascii="Verdana" w:hAnsi="Verdana"/>
          <w:color w:val="000000"/>
        </w:rPr>
        <w:t xml:space="preserve"> - </w:t>
      </w:r>
      <w:r w:rsidRPr="006B157B">
        <w:rPr>
          <w:rStyle w:val="oypena"/>
          <w:rFonts w:ascii="Verdana" w:hAnsi="Verdana"/>
          <w:color w:val="000000"/>
        </w:rPr>
        <w:t xml:space="preserve">Organisation and community norms, structures and practices supporting or failing to address gender inequality, stereotyping, discrimination and violence </w:t>
      </w:r>
      <w:r w:rsidRPr="006B157B">
        <w:rPr>
          <w:rStyle w:val="oypena"/>
          <w:rFonts w:ascii="Verdana" w:hAnsi="Verdana"/>
          <w:i/>
          <w:iCs/>
          <w:color w:val="000000"/>
        </w:rPr>
        <w:t>(WDV 2023, Taking Action Guide).</w:t>
      </w:r>
    </w:p>
    <w:p w14:paraId="21148623" w14:textId="093BBBE2" w:rsidR="00AE25F7" w:rsidRPr="006B157B" w:rsidRDefault="00AE25F7" w:rsidP="006B157B">
      <w:pPr>
        <w:spacing w:line="276" w:lineRule="auto"/>
        <w:rPr>
          <w:rStyle w:val="oypena"/>
          <w:rFonts w:ascii="Verdana" w:hAnsi="Verdana"/>
          <w:color w:val="000000"/>
        </w:rPr>
      </w:pPr>
      <w:r w:rsidRPr="006B157B">
        <w:rPr>
          <w:rStyle w:val="oypena"/>
          <w:rFonts w:ascii="Verdana" w:hAnsi="Verdana"/>
          <w:b/>
          <w:bCs/>
          <w:color w:val="000000"/>
        </w:rPr>
        <w:t>Racism</w:t>
      </w:r>
      <w:r w:rsidRPr="006B157B">
        <w:rPr>
          <w:rStyle w:val="oypena"/>
          <w:rFonts w:ascii="Verdana" w:hAnsi="Verdana"/>
          <w:b/>
          <w:bCs/>
          <w:color w:val="000000"/>
        </w:rPr>
        <w:t xml:space="preserve"> </w:t>
      </w:r>
      <w:r w:rsidRPr="006B157B">
        <w:rPr>
          <w:rStyle w:val="oypena"/>
          <w:rFonts w:ascii="Verdana" w:hAnsi="Verdana"/>
          <w:color w:val="000000"/>
        </w:rPr>
        <w:t xml:space="preserve">- </w:t>
      </w:r>
      <w:r w:rsidRPr="006B157B">
        <w:rPr>
          <w:rStyle w:val="oypena"/>
          <w:rFonts w:ascii="Verdana" w:hAnsi="Verdana"/>
          <w:color w:val="000000"/>
        </w:rPr>
        <w:t xml:space="preserve">The process by which systems and policies, actions and attitudes create inequitable opportunities and outcomes for people based on race </w:t>
      </w:r>
      <w:r w:rsidRPr="006B157B">
        <w:rPr>
          <w:rStyle w:val="oypena"/>
          <w:rFonts w:ascii="Verdana" w:hAnsi="Verdana"/>
          <w:i/>
          <w:iCs/>
          <w:color w:val="000000"/>
        </w:rPr>
        <w:t>(Australian Human Rights Commission 2022).</w:t>
      </w:r>
    </w:p>
    <w:p w14:paraId="7142338F" w14:textId="03C305F5" w:rsidR="00AE25F7" w:rsidRPr="006B157B" w:rsidRDefault="00AE25F7" w:rsidP="006B157B">
      <w:pPr>
        <w:spacing w:line="276" w:lineRule="auto"/>
        <w:rPr>
          <w:rStyle w:val="oypena"/>
          <w:rFonts w:ascii="Verdana" w:hAnsi="Verdana"/>
          <w:color w:val="000000"/>
        </w:rPr>
      </w:pPr>
      <w:r w:rsidRPr="006B157B">
        <w:rPr>
          <w:rStyle w:val="oypena"/>
          <w:rFonts w:ascii="Verdana" w:hAnsi="Verdana"/>
          <w:b/>
          <w:bCs/>
          <w:color w:val="000000"/>
        </w:rPr>
        <w:lastRenderedPageBreak/>
        <w:t>Sexism</w:t>
      </w:r>
      <w:r w:rsidRPr="006B157B">
        <w:rPr>
          <w:rStyle w:val="oypena"/>
          <w:rFonts w:ascii="Verdana" w:hAnsi="Verdana"/>
          <w:color w:val="000000"/>
        </w:rPr>
        <w:t xml:space="preserve"> - </w:t>
      </w:r>
      <w:r w:rsidRPr="006B157B">
        <w:rPr>
          <w:rStyle w:val="oypena"/>
          <w:rFonts w:ascii="Verdana" w:hAnsi="Verdana"/>
          <w:color w:val="000000"/>
        </w:rPr>
        <w:t>The claim that one sex is superior to the others</w:t>
      </w:r>
      <w:r w:rsidRPr="006B157B">
        <w:rPr>
          <w:rStyle w:val="oypena"/>
          <w:rFonts w:ascii="Verdana" w:hAnsi="Verdana"/>
          <w:color w:val="000000"/>
        </w:rPr>
        <w:t xml:space="preserve"> </w:t>
      </w:r>
      <w:r w:rsidRPr="006B157B">
        <w:rPr>
          <w:rStyle w:val="oypena"/>
          <w:rFonts w:ascii="Verdana" w:hAnsi="Verdana"/>
          <w:i/>
          <w:iCs/>
          <w:color w:val="000000"/>
        </w:rPr>
        <w:t>(WDV 2023, Taking Action Guide).</w:t>
      </w:r>
    </w:p>
    <w:p w14:paraId="794E89FE" w14:textId="7FA11D1F" w:rsidR="00AE25F7" w:rsidRPr="006B157B" w:rsidRDefault="00AE25F7" w:rsidP="006B157B">
      <w:pPr>
        <w:spacing w:line="276" w:lineRule="auto"/>
        <w:rPr>
          <w:rStyle w:val="oypena"/>
          <w:rFonts w:ascii="Verdana" w:hAnsi="Verdana"/>
          <w:color w:val="000000"/>
        </w:rPr>
      </w:pPr>
      <w:r w:rsidRPr="006B157B">
        <w:rPr>
          <w:rStyle w:val="oypena"/>
          <w:rFonts w:ascii="Verdana" w:hAnsi="Verdana"/>
          <w:b/>
          <w:bCs/>
          <w:color w:val="000000"/>
        </w:rPr>
        <w:t>Societal barriers</w:t>
      </w:r>
      <w:r w:rsidRPr="006B157B">
        <w:rPr>
          <w:rStyle w:val="oypena"/>
          <w:rFonts w:ascii="Verdana" w:hAnsi="Verdana"/>
          <w:color w:val="000000"/>
        </w:rPr>
        <w:t xml:space="preserve"> - </w:t>
      </w:r>
      <w:r w:rsidRPr="006B157B">
        <w:rPr>
          <w:rStyle w:val="oypena"/>
          <w:rFonts w:ascii="Verdana" w:hAnsi="Verdana"/>
          <w:color w:val="000000"/>
        </w:rPr>
        <w:t xml:space="preserve">Dominant social norms supporting rigid roles and stereotyping, or condoning, excusing and downplaying violence against women </w:t>
      </w:r>
      <w:r w:rsidRPr="006B157B">
        <w:rPr>
          <w:rStyle w:val="oypena"/>
          <w:rFonts w:ascii="Verdana" w:hAnsi="Verdana"/>
          <w:i/>
          <w:iCs/>
          <w:color w:val="000000"/>
        </w:rPr>
        <w:t>(WDV 2023, Taking Action Guide).</w:t>
      </w:r>
    </w:p>
    <w:p w14:paraId="21130DDB" w14:textId="66C545AD" w:rsidR="00AE25F7" w:rsidRPr="006B157B" w:rsidRDefault="00AE25F7" w:rsidP="006B157B">
      <w:pPr>
        <w:spacing w:line="276" w:lineRule="auto"/>
        <w:rPr>
          <w:rStyle w:val="oypena"/>
          <w:rFonts w:ascii="Verdana" w:hAnsi="Verdana"/>
          <w:color w:val="000000"/>
        </w:rPr>
      </w:pPr>
      <w:r w:rsidRPr="006B157B">
        <w:rPr>
          <w:rStyle w:val="oypena"/>
          <w:rFonts w:ascii="Verdana" w:hAnsi="Verdana"/>
          <w:b/>
          <w:bCs/>
          <w:color w:val="000000"/>
        </w:rPr>
        <w:t>Social norms</w:t>
      </w:r>
      <w:r w:rsidRPr="006B157B">
        <w:rPr>
          <w:rStyle w:val="oypena"/>
          <w:rFonts w:ascii="Verdana" w:hAnsi="Verdana"/>
          <w:color w:val="000000"/>
        </w:rPr>
        <w:t xml:space="preserve"> - </w:t>
      </w:r>
      <w:r w:rsidRPr="006B157B">
        <w:rPr>
          <w:rStyle w:val="oypena"/>
          <w:rFonts w:ascii="Verdana" w:hAnsi="Verdana"/>
          <w:color w:val="000000"/>
        </w:rPr>
        <w:t xml:space="preserve">Unspoken rules that define acceptable and expected behaviours within society </w:t>
      </w:r>
      <w:r w:rsidRPr="006B157B">
        <w:rPr>
          <w:rStyle w:val="oypena"/>
          <w:rFonts w:ascii="Verdana" w:hAnsi="Verdana"/>
          <w:i/>
          <w:iCs/>
          <w:color w:val="000000"/>
        </w:rPr>
        <w:t>(WDV 2023, Taking Action Guide).</w:t>
      </w:r>
    </w:p>
    <w:p w14:paraId="61053E3D" w14:textId="2E7448AA" w:rsidR="00AE25F7" w:rsidRPr="006B157B" w:rsidRDefault="00AE25F7" w:rsidP="006B157B">
      <w:pPr>
        <w:spacing w:line="276" w:lineRule="auto"/>
        <w:rPr>
          <w:rStyle w:val="oypena"/>
          <w:rFonts w:ascii="Verdana" w:hAnsi="Verdana"/>
          <w:color w:val="000000"/>
        </w:rPr>
      </w:pPr>
      <w:r w:rsidRPr="006B157B">
        <w:rPr>
          <w:rStyle w:val="oypena"/>
          <w:rFonts w:ascii="Verdana" w:hAnsi="Verdana"/>
          <w:b/>
          <w:bCs/>
          <w:color w:val="000000"/>
        </w:rPr>
        <w:t>Systematic barriers</w:t>
      </w:r>
      <w:r w:rsidRPr="006B157B">
        <w:rPr>
          <w:rStyle w:val="oypena"/>
          <w:rFonts w:ascii="Verdana" w:hAnsi="Verdana"/>
          <w:color w:val="000000"/>
        </w:rPr>
        <w:t xml:space="preserve"> - </w:t>
      </w:r>
      <w:r w:rsidRPr="006B157B">
        <w:rPr>
          <w:rStyle w:val="oypena"/>
          <w:rFonts w:ascii="Verdana" w:hAnsi="Verdana"/>
          <w:color w:val="000000"/>
        </w:rPr>
        <w:t xml:space="preserve">Failure of systems, institutions and policies to promote women’s economic, legal and societal autonomy, or to adequately address violence against women </w:t>
      </w:r>
      <w:r w:rsidRPr="006B157B">
        <w:rPr>
          <w:rStyle w:val="oypena"/>
          <w:rFonts w:ascii="Verdana" w:hAnsi="Verdana"/>
          <w:i/>
          <w:iCs/>
          <w:color w:val="000000"/>
        </w:rPr>
        <w:t>(WDV 2023, Taking Action Guide).</w:t>
      </w:r>
    </w:p>
    <w:p w14:paraId="0776D5FF" w14:textId="00FEA909" w:rsidR="00AE25F7" w:rsidRPr="006B157B" w:rsidRDefault="00AE25F7" w:rsidP="006B157B">
      <w:pPr>
        <w:spacing w:line="276" w:lineRule="auto"/>
        <w:rPr>
          <w:rFonts w:ascii="Verdana" w:hAnsi="Verdana"/>
          <w:color w:val="000000"/>
        </w:rPr>
      </w:pPr>
      <w:r w:rsidRPr="006B157B">
        <w:rPr>
          <w:rStyle w:val="oypena"/>
          <w:rFonts w:ascii="Verdana" w:hAnsi="Verdana"/>
          <w:b/>
          <w:bCs/>
          <w:color w:val="000000"/>
        </w:rPr>
        <w:t>Violence Against Women</w:t>
      </w:r>
      <w:r w:rsidRPr="006B157B">
        <w:rPr>
          <w:rStyle w:val="oypena"/>
          <w:rFonts w:ascii="Verdana" w:hAnsi="Verdana"/>
          <w:color w:val="000000"/>
        </w:rPr>
        <w:t xml:space="preserve"> - </w:t>
      </w:r>
      <w:r w:rsidRPr="006B157B">
        <w:rPr>
          <w:rStyle w:val="oypena"/>
          <w:rFonts w:ascii="Verdana" w:hAnsi="Verdana"/>
          <w:color w:val="000000"/>
        </w:rPr>
        <w:t xml:space="preserve">Any act of violence that causes, or could cause, physical, sexual or psychological harm or suffering to women, including threats of harm or coercion, in public or in private life </w:t>
      </w:r>
      <w:r w:rsidRPr="006B157B">
        <w:rPr>
          <w:rStyle w:val="oypena"/>
          <w:rFonts w:ascii="Verdana" w:hAnsi="Verdana"/>
          <w:i/>
          <w:iCs/>
          <w:color w:val="000000"/>
        </w:rPr>
        <w:t>(Our Watch 2022).</w:t>
      </w:r>
    </w:p>
    <w:sectPr w:rsidR="00AE25F7" w:rsidRPr="006B15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AD1F4F"/>
    <w:multiLevelType w:val="hybridMultilevel"/>
    <w:tmpl w:val="B3A2F7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87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F7"/>
    <w:rsid w:val="001D638A"/>
    <w:rsid w:val="006B157B"/>
    <w:rsid w:val="00A8550B"/>
    <w:rsid w:val="00AE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3FC5A"/>
  <w15:chartTrackingRefBased/>
  <w15:docId w15:val="{29BDC4EE-9217-43CA-AB02-242F1FE2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5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4B194C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25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4B194C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5F7"/>
    <w:pPr>
      <w:keepNext/>
      <w:keepLines/>
      <w:spacing w:before="160" w:after="80"/>
      <w:outlineLvl w:val="2"/>
    </w:pPr>
    <w:rPr>
      <w:rFonts w:eastAsiaTheme="majorEastAsia" w:cstheme="majorBidi"/>
      <w:color w:val="4B194C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5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B194C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5F7"/>
    <w:pPr>
      <w:keepNext/>
      <w:keepLines/>
      <w:spacing w:before="80" w:after="40"/>
      <w:outlineLvl w:val="4"/>
    </w:pPr>
    <w:rPr>
      <w:rFonts w:eastAsiaTheme="majorEastAsia" w:cstheme="majorBidi"/>
      <w:color w:val="4B194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5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5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5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5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5F7"/>
    <w:rPr>
      <w:rFonts w:asciiTheme="majorHAnsi" w:eastAsiaTheme="majorEastAsia" w:hAnsiTheme="majorHAnsi" w:cstheme="majorBidi"/>
      <w:color w:val="4B194C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E25F7"/>
    <w:rPr>
      <w:rFonts w:asciiTheme="majorHAnsi" w:eastAsiaTheme="majorEastAsia" w:hAnsiTheme="majorHAnsi" w:cstheme="majorBidi"/>
      <w:color w:val="4B194C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5F7"/>
    <w:rPr>
      <w:rFonts w:eastAsiaTheme="majorEastAsia" w:cstheme="majorBidi"/>
      <w:color w:val="4B194C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5F7"/>
    <w:rPr>
      <w:rFonts w:eastAsiaTheme="majorEastAsia" w:cstheme="majorBidi"/>
      <w:i/>
      <w:iCs/>
      <w:color w:val="4B194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5F7"/>
    <w:rPr>
      <w:rFonts w:eastAsiaTheme="majorEastAsia" w:cstheme="majorBidi"/>
      <w:color w:val="4B19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5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5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5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5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5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5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5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5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5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5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5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5F7"/>
    <w:rPr>
      <w:i/>
      <w:iCs/>
      <w:color w:val="4B194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5F7"/>
    <w:pPr>
      <w:pBdr>
        <w:top w:val="single" w:sz="4" w:space="10" w:color="4B194C" w:themeColor="accent1" w:themeShade="BF"/>
        <w:bottom w:val="single" w:sz="4" w:space="10" w:color="4B194C" w:themeColor="accent1" w:themeShade="BF"/>
      </w:pBdr>
      <w:spacing w:before="360" w:after="360"/>
      <w:ind w:left="864" w:right="864"/>
      <w:jc w:val="center"/>
    </w:pPr>
    <w:rPr>
      <w:i/>
      <w:iCs/>
      <w:color w:val="4B194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5F7"/>
    <w:rPr>
      <w:i/>
      <w:iCs/>
      <w:color w:val="4B194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5F7"/>
    <w:rPr>
      <w:b/>
      <w:bCs/>
      <w:smallCaps/>
      <w:color w:val="4B194C" w:themeColor="accent1" w:themeShade="BF"/>
      <w:spacing w:val="5"/>
    </w:rPr>
  </w:style>
  <w:style w:type="character" w:customStyle="1" w:styleId="oypena">
    <w:name w:val="oypena"/>
    <w:basedOn w:val="DefaultParagraphFont"/>
    <w:rsid w:val="00AE2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80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2013 - 2022 Theme">
  <a:themeElements>
    <a:clrScheme name="WD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52266"/>
      </a:accent1>
      <a:accent2>
        <a:srgbClr val="A9218E"/>
      </a:accent2>
      <a:accent3>
        <a:srgbClr val="D97B1A"/>
      </a:accent3>
      <a:accent4>
        <a:srgbClr val="D8C8D7"/>
      </a:accent4>
      <a:accent5>
        <a:srgbClr val="EBC4B1"/>
      </a:accent5>
      <a:accent6>
        <a:srgbClr val="FFF7E7"/>
      </a:accent6>
      <a:hlink>
        <a:srgbClr val="0563C1"/>
      </a:hlink>
      <a:folHlink>
        <a:srgbClr val="954F72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13 - 2022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2013 - 2022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2323811C99A540B36BE37FD84F0D9B" ma:contentTypeVersion="14" ma:contentTypeDescription="Create a new document." ma:contentTypeScope="" ma:versionID="bf561fcec52201415f307fd60444ae57">
  <xsd:schema xmlns:xsd="http://www.w3.org/2001/XMLSchema" xmlns:xs="http://www.w3.org/2001/XMLSchema" xmlns:p="http://schemas.microsoft.com/office/2006/metadata/properties" xmlns:ns2="94b4db28-1a77-4dbd-b07e-e8160fa7847e" xmlns:ns3="9a6a6afb-215b-42ec-9f8f-afb7b7687480" targetNamespace="http://schemas.microsoft.com/office/2006/metadata/properties" ma:root="true" ma:fieldsID="16abd9302c101090ddc5585e45424770" ns2:_="" ns3:_="">
    <xsd:import namespace="94b4db28-1a77-4dbd-b07e-e8160fa7847e"/>
    <xsd:import namespace="9a6a6afb-215b-42ec-9f8f-afb7b7687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4db28-1a77-4dbd-b07e-e8160fa78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6afb-215b-42ec-9f8f-afb7b76874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6e0708a-a3ac-4c75-9bb4-06249a41fa09}" ma:internalName="TaxCatchAll" ma:showField="CatchAllData" ma:web="9a6a6afb-215b-42ec-9f8f-afb7b7687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b4db28-1a77-4dbd-b07e-e8160fa7847e">
      <Terms xmlns="http://schemas.microsoft.com/office/infopath/2007/PartnerControls"/>
    </lcf76f155ced4ddcb4097134ff3c332f>
    <TaxCatchAll xmlns="9a6a6afb-215b-42ec-9f8f-afb7b7687480" xsi:nil="true"/>
  </documentManagement>
</p:properties>
</file>

<file path=customXml/itemProps1.xml><?xml version="1.0" encoding="utf-8"?>
<ds:datastoreItem xmlns:ds="http://schemas.openxmlformats.org/officeDocument/2006/customXml" ds:itemID="{1F8E8230-AF73-4E8D-97BD-3B1997A10485}"/>
</file>

<file path=customXml/itemProps2.xml><?xml version="1.0" encoding="utf-8"?>
<ds:datastoreItem xmlns:ds="http://schemas.openxmlformats.org/officeDocument/2006/customXml" ds:itemID="{AF876848-74F5-4743-9D3C-BB3AC75ECCB9}"/>
</file>

<file path=customXml/itemProps3.xml><?xml version="1.0" encoding="utf-8"?>
<ds:datastoreItem xmlns:ds="http://schemas.openxmlformats.org/officeDocument/2006/customXml" ds:itemID="{64DC9F8F-3312-4882-ACE8-5F15883E9B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Sayer</dc:creator>
  <cp:keywords/>
  <dc:description/>
  <cp:lastModifiedBy>Stephanie Sayer</cp:lastModifiedBy>
  <cp:revision>1</cp:revision>
  <dcterms:created xsi:type="dcterms:W3CDTF">2024-06-19T01:42:00Z</dcterms:created>
  <dcterms:modified xsi:type="dcterms:W3CDTF">2024-06-19T01:58:00Z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0x010100AD2323811C99A540B36BE37FD84F0D9B</vt:lpwstr>
  </property>
</Properties>
</file>